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" w:lineRule="atLeast"/>
        <w:ind w:left="-244" w:right="-6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（八）多语言支持与跨文化交流​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DeepSeek还支持多语言，能够帮助用户进行跨文化交流。以下是具体案例：​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案例8：跨文化交流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背景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：用户需要写一篇关于中日文化交流的文章，希望文章能够体现两国文化的独特性和共通性。​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“请写一篇关于中日文化交流的文章，重点描述两国文化的独特性和共通性，希望文章能够促进两国人民的相互理解和友谊，但担心</w:t>
      </w:r>
      <w:bookmarkStart w:id="0" w:name="_GoBack"/>
      <w:bookmarkEnd w:id="0"/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文章过于学术化，缺乏趣味性。”​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篇充满趣味性的文章，描述了中日文化的独特性和共通性，同时提供了许多有趣的例子和故事，使文章更加生动有趣。例如：“中日两国在饮食文化上有许多相似之处，比如都注重食物的季节性和新鲜度。但也有独特的差异，比如中国的饺子和日本的寿司，虽然都是用面皮包裹馅料，但制作方法和食用方式却大相径庭。通过这些有趣的对比，我们可以更好地理解两国文化的独特魅力。”</w:t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2E772CA7"/>
    <w:rsid w:val="44A17D10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2025-02-02T13:51:09Z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